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600200" cy="370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bateai-header-v3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7049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AI policy ve firmě — šablona</w:t>
      </w:r>
    </w:p>
    <w:p>
      <w:r>
        <w:rPr>
          <w:i/>
          <w:color w:val="556070"/>
        </w:rPr>
        <w:t>Praktický základ pro pravidla používání AI, ACK, AI literacy, inventář nástrojů, risk baseline a Evidence Pack.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FF7E0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before="100" w:after="40"/>
            </w:pPr>
            <w:r>
              <w:rPr>
                <w:b/>
                <w:color w:val="0B5D44"/>
                <w:sz w:val="20"/>
              </w:rPr>
              <w:t>Použití šablony</w:t>
            </w:r>
          </w:p>
          <w:p>
            <w:pPr>
              <w:spacing w:after="100"/>
            </w:pPr>
            <w:r>
              <w:rPr>
                <w:color w:val="556070"/>
                <w:sz w:val="18"/>
              </w:rPr>
              <w:t>Tento dokument je výchozí podklad. Doplňte vlastní nástroje, role, schvalovací procesy a kontakty. Nejde o právní službu, právní audit ani garanci souladu.</w:t>
            </w:r>
          </w:p>
        </w:tc>
      </w:tr>
    </w:tbl>
    <w:p>
      <w:pPr>
        <w:pStyle w:val="Heading1"/>
      </w:pPr>
      <w:r>
        <w:t>1. Metadata dokumentu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0B5D44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b/>
                <w:color w:val="FFFFFF"/>
                <w:sz w:val="18"/>
              </w:rPr>
              <w:t>Pole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0B5D44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b/>
                <w:color w:val="FFFFFF"/>
                <w:sz w:val="18"/>
              </w:rPr>
              <w:t>Hodnota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Název organizace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[DOPLŇTE NÁZEV FIRMY]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Verze policy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v1.0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Datum účinnosti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[DD.MM.RRRR]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Vlastník policy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[Jméno / role]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Schvalovatel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[Vedení / IT / bezpečnost / HR]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Rozsah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[zaměstnanci / externisté / dodavatelé]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Revize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[např. každých 6–12 měsíců nebo při změně nástrojů]</w:t>
            </w:r>
          </w:p>
        </w:tc>
      </w:tr>
    </w:tbl>
    <w:p>
      <w:pPr>
        <w:pStyle w:val="Heading1"/>
      </w:pPr>
      <w:r>
        <w:t>2. Účel a principy</w:t>
      </w:r>
    </w:p>
    <w:p>
      <w:r>
        <w:t>Cílem této AI policy je nastavit srozumitelná pravidla pro používání AI nástrojů ve firmě tak, aby bylo jasné, co je povolené, co je omezené, jak chráníme data a jak prokazujeme, že pravidla platí a lidé je znají.</w:t>
      </w:r>
    </w:p>
    <w:p>
      <w:pPr>
        <w:pStyle w:val="ListBullet"/>
        <w:spacing w:after="50"/>
        <w:ind w:left="360"/>
      </w:pPr>
      <w:r>
        <w:t>Používat AI odpovědně, transparentně a s lidskou kontrolou.</w:t>
      </w:r>
    </w:p>
    <w:p>
      <w:pPr>
        <w:pStyle w:val="ListBullet"/>
        <w:spacing w:after="50"/>
        <w:ind w:left="360"/>
      </w:pPr>
      <w:r>
        <w:t>Nevkládat citlivá, důvěrná nebo osobní data do AI nástrojů bez schválení.</w:t>
      </w:r>
    </w:p>
    <w:p>
      <w:pPr>
        <w:pStyle w:val="ListBullet"/>
        <w:spacing w:after="50"/>
        <w:ind w:left="360"/>
      </w:pPr>
      <w:r>
        <w:t>Používat schválené AI nástroje podle inventáře a interních pravidel.</w:t>
      </w:r>
    </w:p>
    <w:p>
      <w:pPr>
        <w:pStyle w:val="ListBullet"/>
        <w:spacing w:after="50"/>
        <w:ind w:left="360"/>
      </w:pPr>
      <w:r>
        <w:t>Vést důkazy: verze policy, ACK, evidence školení, inventář, risk baseline a auditní stopu.</w:t>
      </w:r>
    </w:p>
    <w:p>
      <w:pPr>
        <w:pStyle w:val="Heading1"/>
      </w:pPr>
      <w:r>
        <w:t>3. Rozsah a definice</w:t>
      </w:r>
    </w:p>
    <w:p>
      <w:r>
        <w:t>Tato policy se vztahuje na používání generativních a asistenčních AI nástrojů v pracovním kontextu, zejména na práci s textem, dokumenty, kódem, obrázky, daty a interními procesy.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0B5D44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b/>
                <w:color w:val="FFFFFF"/>
                <w:sz w:val="18"/>
              </w:rPr>
              <w:t>Pojem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0B5D44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b/>
                <w:color w:val="FFFFFF"/>
                <w:sz w:val="18"/>
              </w:rPr>
              <w:t>Význam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AI nástroj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Služba nebo software, který generuje, analyzuje nebo upravuje obsah, data nebo kód.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Důvěrná informace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Interní dokumenty, smlouvy, neveřejné ceny, obchodní strategie, technické know-how nebo data krytá NDA.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Osobní údaje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Údaje, které identifikují fyzickou osobu nebo ji mohou v určitém kontextu identifikovat.</w:t>
            </w:r>
          </w:p>
        </w:tc>
      </w:tr>
    </w:tbl>
    <w:p>
      <w:pPr>
        <w:pStyle w:val="Heading1"/>
      </w:pPr>
      <w:r>
        <w:t>4. Role a odpovědnosti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0B5D44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b/>
                <w:color w:val="FFFFFF"/>
                <w:sz w:val="18"/>
              </w:rPr>
              <w:t>Role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0B5D44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b/>
                <w:color w:val="FFFFFF"/>
                <w:sz w:val="18"/>
              </w:rPr>
              <w:t>Odpovědnosti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Owner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Schvaluje policy, výjimky, risk baseline a odpovědnosti.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Admin / IT / Security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Spravuje policy, inventář nástrojů, školení, ACK a auditní stopu.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HR / Learning owner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Zajišťuje AI literacy školení a evidenci dokončení.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Uživatel / Member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Dodržuje policy, potvrzuje seznámení, absolvuje školení a hlásí incidenty.</w:t>
            </w:r>
          </w:p>
        </w:tc>
      </w:tr>
    </w:tbl>
    <w:p>
      <w:pPr>
        <w:pStyle w:val="Heading1"/>
      </w:pPr>
      <w:r>
        <w:t>5. Povolené, omezené a zakázané použití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0B5D44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b/>
                <w:color w:val="FFFFFF"/>
                <w:sz w:val="18"/>
              </w:rPr>
              <w:t>Kategorie</w:t>
            </w:r>
          </w:p>
        </w:tc>
        <w:tc>
          <w:tcPr>
            <w:tcW w:type="dxa" w:w="3456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0B5D44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b/>
                <w:color w:val="FFFFFF"/>
                <w:sz w:val="18"/>
              </w:rPr>
              <w:t>Příklady</w:t>
            </w:r>
          </w:p>
        </w:tc>
        <w:tc>
          <w:tcPr>
            <w:tcW w:type="dxa" w:w="3456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0B5D44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b/>
                <w:color w:val="FFFFFF"/>
                <w:sz w:val="18"/>
              </w:rPr>
              <w:t>Podmínky</w:t>
            </w:r>
          </w:p>
        </w:tc>
      </w:tr>
      <w:tr>
        <w:tc>
          <w:tcPr>
            <w:tcW w:type="dxa" w:w="3456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Povolené</w:t>
            </w:r>
          </w:p>
        </w:tc>
        <w:tc>
          <w:tcPr>
            <w:tcW w:type="dxa" w:w="3456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Brainstorming, návrhy textů, sumarizace veřejných informací, kontrola stylu.</w:t>
            </w:r>
          </w:p>
        </w:tc>
        <w:tc>
          <w:tcPr>
            <w:tcW w:type="dxa" w:w="3456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Bez citlivých dat a s lidskou kontrolou.</w:t>
            </w:r>
          </w:p>
        </w:tc>
      </w:tr>
      <w:tr>
        <w:tc>
          <w:tcPr>
            <w:tcW w:type="dxa" w:w="3456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Omezené</w:t>
            </w:r>
          </w:p>
        </w:tc>
        <w:tc>
          <w:tcPr>
            <w:tcW w:type="dxa" w:w="3456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Práce s interními dokumenty, kódem, zákaznickým kontextem nebo analytikou.</w:t>
            </w:r>
          </w:p>
        </w:tc>
        <w:tc>
          <w:tcPr>
            <w:tcW w:type="dxa" w:w="3456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Jen ve schválených nástrojích a podle pravidel pro data.</w:t>
            </w:r>
          </w:p>
        </w:tc>
      </w:tr>
      <w:tr>
        <w:tc>
          <w:tcPr>
            <w:tcW w:type="dxa" w:w="3456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Zakázané bez schválení</w:t>
            </w:r>
          </w:p>
        </w:tc>
        <w:tc>
          <w:tcPr>
            <w:tcW w:type="dxa" w:w="3456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Osobní údaje, důvěrné smlouvy, tajemství, credentials, neveřejné finance, automatizovaná rozhodnutí o lidech.</w:t>
            </w:r>
          </w:p>
        </w:tc>
        <w:tc>
          <w:tcPr>
            <w:tcW w:type="dxa" w:w="3456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Vyžaduje explicitní schválení, posouzení rizik a dokumentovanou výjimku.</w:t>
            </w:r>
          </w:p>
        </w:tc>
      </w:tr>
    </w:tbl>
    <w:p>
      <w:pPr>
        <w:pStyle w:val="Heading1"/>
      </w:pPr>
      <w:r>
        <w:t>6. Pravidla pro data</w:t>
      </w:r>
    </w:p>
    <w:p>
      <w:pPr>
        <w:pStyle w:val="ListBullet"/>
        <w:spacing w:after="50"/>
        <w:ind w:left="360"/>
      </w:pPr>
      <w:r>
        <w:t>Pokud si nejste jistí citlivostí dat, považujte je za citlivá.</w:t>
      </w:r>
    </w:p>
    <w:p>
      <w:pPr>
        <w:pStyle w:val="ListBullet"/>
        <w:spacing w:after="50"/>
        <w:ind w:left="360"/>
      </w:pPr>
      <w:r>
        <w:t>Používejte minimální množství dat a odstraňte identifikátory, které nejsou nutné.</w:t>
      </w:r>
    </w:p>
    <w:p>
      <w:pPr>
        <w:pStyle w:val="ListBullet"/>
        <w:spacing w:after="50"/>
        <w:ind w:left="360"/>
      </w:pPr>
      <w:r>
        <w:t>Nevkládejte osobní údaje, důvěrné dokumenty, zdrojové kódy nebo interní know-how do neschválených nástrojů.</w:t>
      </w:r>
    </w:p>
    <w:p>
      <w:pPr>
        <w:pStyle w:val="ListBullet"/>
        <w:spacing w:after="50"/>
        <w:ind w:left="360"/>
      </w:pPr>
      <w:r>
        <w:t>Výstupy AI ověřujte před použitím u zákazníka, v rozhodnutí nebo v bezpečnostně relevantním kontextu.</w:t>
      </w:r>
    </w:p>
    <w:p>
      <w:pPr>
        <w:pStyle w:val="Heading1"/>
      </w:pPr>
      <w:r>
        <w:t>7. Inventář AI nástrojů a schvalování</w:t>
      </w:r>
    </w:p>
    <w:p>
      <w:r>
        <w:t>Firma vede inventář AI nástrojů používaných v organizaci. Před nasazením nového nástroje musí být nástroj zaevidován, přiřazen owner a schválen podle interního procesu.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0B5D44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b/>
                <w:color w:val="FFFFFF"/>
                <w:sz w:val="18"/>
              </w:rPr>
              <w:t>Pole inventáře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0B5D44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b/>
                <w:color w:val="FFFFFF"/>
                <w:sz w:val="18"/>
              </w:rPr>
              <w:t>Doporučený obsah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Název nástroje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Např. ChatGPT, Microsoft Copilot, Gemini, Claude, DeepL, Notion AI.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Status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Schválený / omezený / zakázaný / ve review.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Účel použití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K čemu se nástroj používá a kdo ho používá.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Data rules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Jaké typy dat jsou povolené nebo zakázané.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Owner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Odpovědná osoba nebo tým.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Review datum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Kdy byl nástroj naposledy zkontrolován.</w:t>
            </w:r>
          </w:p>
        </w:tc>
      </w:tr>
    </w:tbl>
    <w:p>
      <w:pPr>
        <w:pStyle w:val="Heading1"/>
      </w:pPr>
      <w:r>
        <w:t>8. AI literacy školení a ACK</w:t>
      </w:r>
    </w:p>
    <w:p>
      <w:r>
        <w:t>Každý uživatel, který používá AI v pracovním kontextu, má absolvovat základní AI literacy školení a potvrdit seznámení s touto policy. Evidence se uchovává pro interní audit, zákaznický review nebo security dotazník.</w:t>
      </w:r>
    </w:p>
    <w:p>
      <w:pPr>
        <w:pStyle w:val="ListBullet"/>
        <w:spacing w:after="50"/>
        <w:ind w:left="360"/>
      </w:pPr>
      <w:r>
        <w:t>Evidence školení: kdo absolvoval, kdy, jaký kurz/verzi a výsledek.</w:t>
      </w:r>
    </w:p>
    <w:p>
      <w:pPr>
        <w:pStyle w:val="ListBullet"/>
        <w:spacing w:after="50"/>
        <w:ind w:left="360"/>
      </w:pPr>
      <w:r>
        <w:t>ACK evidence: kdo policy potvrdil, kdy a jakou verzi policy potvrzoval.</w:t>
      </w:r>
    </w:p>
    <w:p>
      <w:pPr>
        <w:pStyle w:val="ListBullet"/>
        <w:spacing w:after="50"/>
        <w:ind w:left="360"/>
      </w:pPr>
      <w:r>
        <w:t>Opakování: při zásadní změně policy nebo nástrojů vyžádat nové potvrzení.</w:t>
      </w:r>
    </w:p>
    <w:p>
      <w:pPr>
        <w:pStyle w:val="Heading1"/>
      </w:pPr>
      <w:r>
        <w:t>9. Risk baseline a výjimky</w:t>
      </w:r>
    </w:p>
    <w:p>
      <w:r>
        <w:t>Organizace udržuje lehký risk baseline pro hlavní AI use-casy a nástroje. Cílem není právní audit, ale praktický přehled rizik, mitigací a odpovědností.</w:t>
      </w:r>
    </w:p>
    <w:p>
      <w:pPr>
        <w:pStyle w:val="ListBullet"/>
        <w:spacing w:after="50"/>
        <w:ind w:left="360"/>
      </w:pPr>
      <w:r>
        <w:t>Zaznamenat hlavní rizika: data leakage, shadow IT, nepřesné výstupy, používání neschválených nástrojů.</w:t>
      </w:r>
    </w:p>
    <w:p>
      <w:pPr>
        <w:pStyle w:val="ListBullet"/>
        <w:spacing w:after="50"/>
        <w:ind w:left="360"/>
      </w:pPr>
      <w:r>
        <w:t>Zaznamenat mitigace: data rules, approved tools, školení, review proces, incident reporting.</w:t>
      </w:r>
    </w:p>
    <w:p>
      <w:pPr>
        <w:pStyle w:val="ListBullet"/>
        <w:spacing w:after="50"/>
        <w:ind w:left="360"/>
      </w:pPr>
      <w:r>
        <w:t>Výjimky dokumentovat: co je povoleno, pro koho, na jak dlouho a kdo schválil.</w:t>
      </w:r>
    </w:p>
    <w:p>
      <w:pPr>
        <w:pStyle w:val="Heading1"/>
      </w:pPr>
      <w:r>
        <w:t>10. Incidenty a hlášení</w:t>
      </w:r>
    </w:p>
    <w:p>
      <w:pPr>
        <w:pStyle w:val="ListBullet"/>
        <w:spacing w:after="50"/>
        <w:ind w:left="360"/>
      </w:pPr>
      <w:r>
        <w:t>Incident hlaste na: [DOPLŇTE KONTAKT / KANÁL].</w:t>
      </w:r>
    </w:p>
    <w:p>
      <w:pPr>
        <w:pStyle w:val="ListBullet"/>
        <w:spacing w:after="50"/>
        <w:ind w:left="360"/>
      </w:pPr>
      <w:r>
        <w:t>Incident může být vložení citlivých dat do neschváleného nástroje, nebezpečný výstup, použití neschváleného nástroje nebo podezření na únik dat.</w:t>
      </w:r>
    </w:p>
    <w:p>
      <w:pPr>
        <w:pStyle w:val="ListBullet"/>
        <w:spacing w:after="50"/>
        <w:ind w:left="360"/>
      </w:pPr>
      <w:r>
        <w:t>Incident se zaznamená: kdo, co, kdy, dopad, přijatá opatření a zda je potřeba další eskalace.</w:t>
      </w:r>
    </w:p>
    <w:p>
      <w:pPr>
        <w:pStyle w:val="Heading1"/>
      </w:pPr>
      <w:r>
        <w:t>11. Auditní stopa a Evidence Pack</w:t>
      </w:r>
    </w:p>
    <w:p>
      <w:r>
        <w:t>Pro zákaznické, security nebo interní review je vhodné umět exportovat důkazní základ. Evidence Pack má mapovat otázku na odpověď, důkazy a limitaci.</w:t>
      </w:r>
    </w:p>
    <w:p>
      <w:pPr>
        <w:pStyle w:val="ListBullet"/>
        <w:spacing w:after="50"/>
        <w:ind w:left="360"/>
      </w:pPr>
      <w:r>
        <w:t>Aktuální policy a její verze.</w:t>
      </w:r>
    </w:p>
    <w:p>
      <w:pPr>
        <w:pStyle w:val="ListBullet"/>
        <w:spacing w:after="50"/>
        <w:ind w:left="360"/>
      </w:pPr>
      <w:r>
        <w:t>ACK summary: kdo policy potvrdil a kdy.</w:t>
      </w:r>
    </w:p>
    <w:p>
      <w:pPr>
        <w:pStyle w:val="ListBullet"/>
        <w:spacing w:after="50"/>
        <w:ind w:left="360"/>
      </w:pPr>
      <w:r>
        <w:t>AI literacy evidence: dokončení školení a pokrytí.</w:t>
      </w:r>
    </w:p>
    <w:p>
      <w:pPr>
        <w:pStyle w:val="ListBullet"/>
        <w:spacing w:after="50"/>
        <w:ind w:left="360"/>
      </w:pPr>
      <w:r>
        <w:t>AI tools inventory: nástroje, status, owner, data rules.</w:t>
      </w:r>
    </w:p>
    <w:p>
      <w:pPr>
        <w:pStyle w:val="ListBullet"/>
        <w:spacing w:after="50"/>
        <w:ind w:left="360"/>
      </w:pPr>
      <w:r>
        <w:t>Risk baseline: hlavní rizika, mitigace a review stav.</w:t>
      </w:r>
    </w:p>
    <w:p>
      <w:pPr>
        <w:pStyle w:val="ListBullet"/>
        <w:spacing w:after="50"/>
        <w:ind w:left="360"/>
      </w:pPr>
      <w:r>
        <w:t>Audit trail: klíčové governance akce v čase.</w:t>
      </w:r>
    </w:p>
    <w:p>
      <w:pPr>
        <w:pStyle w:val="ListBullet"/>
        <w:spacing w:after="50"/>
        <w:ind w:left="360"/>
      </w:pPr>
      <w:r>
        <w:t>Manifest + kontrolní součty exportu pro ověřitelnost balíčku.</w:t>
      </w:r>
    </w:p>
    <w:p>
      <w:pPr>
        <w:pStyle w:val="Heading1"/>
      </w:pPr>
      <w:r>
        <w:t>Příloha A: Rychlý checklist pro zaměstnance</w:t>
      </w:r>
    </w:p>
    <w:p>
      <w:pPr>
        <w:pStyle w:val="ListBullet"/>
        <w:spacing w:after="50"/>
        <w:ind w:left="360"/>
      </w:pPr>
      <w:r>
        <w:t>Používám jen schválené nebo povolené AI nástroje.</w:t>
      </w:r>
    </w:p>
    <w:p>
      <w:pPr>
        <w:pStyle w:val="ListBullet"/>
        <w:spacing w:after="50"/>
        <w:ind w:left="360"/>
      </w:pPr>
      <w:r>
        <w:t>Do AI nevkládám citlivá, důvěrná nebo osobní data bez schválení.</w:t>
      </w:r>
    </w:p>
    <w:p>
      <w:pPr>
        <w:pStyle w:val="ListBullet"/>
        <w:spacing w:after="50"/>
        <w:ind w:left="360"/>
      </w:pPr>
      <w:r>
        <w:t>Výstupy AI kontroluji před použitím.</w:t>
      </w:r>
    </w:p>
    <w:p>
      <w:pPr>
        <w:pStyle w:val="ListBullet"/>
        <w:spacing w:after="50"/>
        <w:ind w:left="360"/>
      </w:pPr>
      <w:r>
        <w:t>Když si nejsem jistý, ptám se ownera, IT nebo security.</w:t>
      </w:r>
    </w:p>
    <w:p>
      <w:pPr>
        <w:pStyle w:val="ListBullet"/>
        <w:spacing w:after="50"/>
        <w:ind w:left="360"/>
      </w:pPr>
      <w:r>
        <w:t>Incident nebo omyl hlásím bez zbytečného odkladu.</w:t>
      </w:r>
    </w:p>
    <w:p>
      <w:pPr>
        <w:pStyle w:val="Heading1"/>
      </w:pPr>
      <w:r>
        <w:t>Příloha B: Text potvrzení seznámení (ACK)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6FAF8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before="100" w:after="40"/>
            </w:pPr>
            <w:r>
              <w:rPr>
                <w:b/>
                <w:color w:val="0B5D44"/>
                <w:sz w:val="20"/>
              </w:rPr>
              <w:t>ACK text</w:t>
            </w:r>
          </w:p>
          <w:p>
            <w:pPr>
              <w:spacing w:after="100"/>
            </w:pPr>
            <w:r>
              <w:rPr>
                <w:color w:val="556070"/>
                <w:sz w:val="18"/>
              </w:rPr>
              <w:t>Potvrzuji, že jsem se seznámil/a s aktuální verzí AI policy, rozumím základním pravidlům pro používání AI nástrojů ve firmě a budu tato pravidla dodržovat. Jméno / datum / verze policy / podpis nebo elektronické potvrzení.</w:t>
            </w:r>
          </w:p>
        </w:tc>
      </w:tr>
    </w:tbl>
    <w:p>
      <w:r>
        <w:t>© Bate AI Control s.r.o. · Šablona pro interní přizpůsobení. Evidence Pack není compliance certifikace ani právní audit.</w:t>
      </w:r>
    </w:p>
    <w:sectPr w:rsidR="00FC693F" w:rsidRPr="0006063C" w:rsidSect="00034616">
      <w:footerReference w:type="default" r:id="rId9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6070"/>
        <w:sz w:val="16"/>
      </w:rPr>
      <w:t>BateAI · AI governance evidence · Template for internal adaptation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69" w:lineRule="auto"/>
    </w:pPr>
    <w:rPr>
      <w:rFonts w:ascii="Aptos" w:hAnsi="Aptos" w:eastAsia="Aptos"/>
      <w:color w:val="0B0F14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0B5D44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0B5D4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0B5D44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0B0F14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